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B4E" w:rsidRDefault="006F6B4E" w:rsidP="006F6B4E">
      <w:pPr>
        <w:spacing w:after="120"/>
        <w:rPr>
          <w:rFonts w:ascii="TimesNewRomanPS-BoldMT" w:hAnsi="TimesNewRomanPS-BoldMT"/>
          <w:b/>
          <w:bCs/>
        </w:rPr>
      </w:pPr>
      <w:r>
        <w:rPr>
          <w:rFonts w:ascii="TimesNewRomanPS-BoldMT" w:hAnsi="TimesNewRomanPS-BoldMT"/>
          <w:b/>
          <w:bCs/>
        </w:rPr>
        <w:t xml:space="preserve">Maintaining Integrity in System Date/Time  </w:t>
      </w:r>
    </w:p>
    <w:p w:rsidR="006F6B4E" w:rsidRDefault="006F6B4E" w:rsidP="006F6B4E">
      <w:pPr>
        <w:spacing w:after="120"/>
        <w:rPr>
          <w:i/>
          <w:iCs/>
          <w:sz w:val="22"/>
          <w:szCs w:val="22"/>
        </w:rPr>
      </w:pPr>
      <w:r>
        <w:rPr>
          <w:i/>
          <w:iCs/>
          <w:sz w:val="22"/>
          <w:szCs w:val="22"/>
        </w:rPr>
        <w:t>Guidelines for applicability of this SFR:</w:t>
      </w:r>
    </w:p>
    <w:p w:rsidR="006F6B4E" w:rsidRDefault="006F6B4E" w:rsidP="006F6B4E">
      <w:pPr>
        <w:pStyle w:val="ListParagraph"/>
        <w:numPr>
          <w:ilvl w:val="0"/>
          <w:numId w:val="1"/>
        </w:numPr>
        <w:spacing w:before="0" w:beforeAutospacing="0" w:after="120" w:afterAutospacing="0"/>
        <w:contextualSpacing/>
        <w:rPr>
          <w:i/>
          <w:iCs/>
          <w:sz w:val="22"/>
          <w:szCs w:val="22"/>
        </w:rPr>
      </w:pPr>
      <w:r>
        <w:rPr>
          <w:i/>
          <w:iCs/>
          <w:sz w:val="22"/>
          <w:szCs w:val="22"/>
        </w:rPr>
        <w:t>This is a selection-based SFR, to be included in the ST if “</w:t>
      </w:r>
      <w:proofErr w:type="spellStart"/>
      <w:r>
        <w:rPr>
          <w:i/>
          <w:iCs/>
          <w:sz w:val="22"/>
          <w:szCs w:val="22"/>
        </w:rPr>
        <w:t>synchronise</w:t>
      </w:r>
      <w:proofErr w:type="spellEnd"/>
      <w:r>
        <w:rPr>
          <w:i/>
          <w:iCs/>
          <w:sz w:val="22"/>
          <w:szCs w:val="22"/>
        </w:rPr>
        <w:t xml:space="preserve"> time with an NTP server” is selected within FPT_STM_EXT.1.2.</w:t>
      </w:r>
    </w:p>
    <w:p w:rsidR="006F6B4E" w:rsidRDefault="006F6B4E" w:rsidP="006F6B4E">
      <w:pPr>
        <w:pStyle w:val="ListParagraph"/>
        <w:numPr>
          <w:ilvl w:val="0"/>
          <w:numId w:val="1"/>
        </w:numPr>
        <w:spacing w:before="0" w:beforeAutospacing="0" w:after="120" w:afterAutospacing="0"/>
        <w:contextualSpacing/>
        <w:rPr>
          <w:i/>
          <w:iCs/>
          <w:sz w:val="22"/>
          <w:szCs w:val="22"/>
        </w:rPr>
      </w:pPr>
      <w:r>
        <w:rPr>
          <w:i/>
          <w:iCs/>
          <w:sz w:val="22"/>
          <w:szCs w:val="22"/>
        </w:rPr>
        <w:t>This SFR is required when the TOE can be configured to receive (as a client or peer) NTP clock updates from a non-TOE source (server or peer).</w:t>
      </w:r>
    </w:p>
    <w:p w:rsidR="006F6B4E" w:rsidRDefault="006F6B4E" w:rsidP="006F6B4E">
      <w:pPr>
        <w:pStyle w:val="ListParagraph"/>
        <w:numPr>
          <w:ilvl w:val="0"/>
          <w:numId w:val="1"/>
        </w:numPr>
        <w:spacing w:before="0" w:beforeAutospacing="0" w:after="120" w:afterAutospacing="0"/>
        <w:contextualSpacing/>
        <w:rPr>
          <w:i/>
          <w:iCs/>
          <w:sz w:val="22"/>
          <w:szCs w:val="22"/>
        </w:rPr>
      </w:pPr>
      <w:r>
        <w:rPr>
          <w:i/>
          <w:iCs/>
          <w:sz w:val="22"/>
          <w:szCs w:val="22"/>
        </w:rPr>
        <w:t xml:space="preserve">This SFR is not applicable when/where NTP </w:t>
      </w:r>
      <w:proofErr w:type="gramStart"/>
      <w:r>
        <w:rPr>
          <w:i/>
          <w:iCs/>
          <w:sz w:val="22"/>
          <w:szCs w:val="22"/>
        </w:rPr>
        <w:t>is being used</w:t>
      </w:r>
      <w:proofErr w:type="gramEnd"/>
      <w:r>
        <w:rPr>
          <w:i/>
          <w:iCs/>
          <w:sz w:val="22"/>
          <w:szCs w:val="22"/>
        </w:rPr>
        <w:t xml:space="preserve"> between/among TOE components (such communications would be implicitly covered by FPT_ITT.1).</w:t>
      </w:r>
    </w:p>
    <w:p w:rsidR="006F6B4E" w:rsidRDefault="006F6B4E" w:rsidP="006F6B4E">
      <w:pPr>
        <w:pStyle w:val="ListParagraph"/>
        <w:numPr>
          <w:ilvl w:val="0"/>
          <w:numId w:val="1"/>
        </w:numPr>
        <w:spacing w:before="0" w:beforeAutospacing="0" w:after="120" w:afterAutospacing="0"/>
        <w:contextualSpacing/>
        <w:rPr>
          <w:i/>
          <w:iCs/>
          <w:sz w:val="22"/>
          <w:szCs w:val="22"/>
        </w:rPr>
      </w:pPr>
      <w:r>
        <w:rPr>
          <w:i/>
          <w:iCs/>
          <w:sz w:val="22"/>
          <w:szCs w:val="22"/>
        </w:rPr>
        <w:t xml:space="preserve">This SFR is not applicable if the TOE cannot be configured to operate as an NTP time recipient (client or peer), even if the TOE can operate as an NTP time source (server or peer) for non-TOE entities.  Such communications </w:t>
      </w:r>
      <w:proofErr w:type="gramStart"/>
      <w:r>
        <w:rPr>
          <w:i/>
          <w:iCs/>
          <w:sz w:val="22"/>
          <w:szCs w:val="22"/>
        </w:rPr>
        <w:t>could potentially be listed</w:t>
      </w:r>
      <w:proofErr w:type="gramEnd"/>
      <w:r>
        <w:rPr>
          <w:i/>
          <w:iCs/>
          <w:sz w:val="22"/>
          <w:szCs w:val="22"/>
        </w:rPr>
        <w:t xml:space="preserve"> as a capability within FTP_ITC.1.</w:t>
      </w:r>
    </w:p>
    <w:p w:rsidR="006F6B4E" w:rsidRDefault="006F6B4E" w:rsidP="006F6B4E">
      <w:pPr>
        <w:spacing w:after="120"/>
        <w:rPr>
          <w:sz w:val="22"/>
          <w:szCs w:val="22"/>
        </w:rPr>
      </w:pPr>
      <w:r>
        <w:rPr>
          <w:b/>
          <w:bCs/>
          <w:sz w:val="22"/>
          <w:szCs w:val="22"/>
        </w:rPr>
        <w:t xml:space="preserve">FCS_NTP_EXT.1 </w:t>
      </w:r>
      <w:r>
        <w:rPr>
          <w:sz w:val="22"/>
          <w:szCs w:val="22"/>
        </w:rPr>
        <w:t>NTP Protocol</w:t>
      </w:r>
    </w:p>
    <w:p w:rsidR="006F6B4E" w:rsidRDefault="006F6B4E" w:rsidP="006F6B4E">
      <w:pPr>
        <w:spacing w:after="120"/>
        <w:rPr>
          <w:sz w:val="22"/>
          <w:szCs w:val="22"/>
        </w:rPr>
      </w:pPr>
      <w:r>
        <w:rPr>
          <w:b/>
          <w:bCs/>
          <w:sz w:val="22"/>
          <w:szCs w:val="22"/>
        </w:rPr>
        <w:t xml:space="preserve">FCS_NTP_EXT.1.1 </w:t>
      </w:r>
      <w:r>
        <w:rPr>
          <w:sz w:val="22"/>
          <w:szCs w:val="22"/>
        </w:rPr>
        <w:t>The TSF shall implement [selection: NTP v3 (RFC 1305), NTP v4 (RFC 5905)].</w:t>
      </w:r>
    </w:p>
    <w:p w:rsidR="006F6B4E" w:rsidRDefault="006F6B4E" w:rsidP="006F6B4E">
      <w:pPr>
        <w:spacing w:after="120"/>
        <w:rPr>
          <w:sz w:val="22"/>
          <w:szCs w:val="22"/>
        </w:rPr>
      </w:pPr>
      <w:r>
        <w:rPr>
          <w:b/>
          <w:bCs/>
          <w:sz w:val="22"/>
          <w:szCs w:val="22"/>
        </w:rPr>
        <w:t xml:space="preserve">FCS_NTP_EXT.1.2 </w:t>
      </w:r>
      <w:r>
        <w:rPr>
          <w:sz w:val="22"/>
          <w:szCs w:val="22"/>
        </w:rPr>
        <w:t>The TSF shall be able to update its system time using [selection:</w:t>
      </w:r>
    </w:p>
    <w:p w:rsidR="006F6B4E" w:rsidRDefault="006F6B4E" w:rsidP="006F6B4E">
      <w:pPr>
        <w:numPr>
          <w:ilvl w:val="0"/>
          <w:numId w:val="2"/>
        </w:numPr>
        <w:spacing w:after="120"/>
        <w:rPr>
          <w:sz w:val="22"/>
          <w:szCs w:val="22"/>
        </w:rPr>
      </w:pPr>
      <w:r>
        <w:rPr>
          <w:sz w:val="22"/>
          <w:szCs w:val="22"/>
        </w:rPr>
        <w:t>NTP messages authenticated with [assignment: list of algorithms consistent with selections made in FCS_COP.1];</w:t>
      </w:r>
    </w:p>
    <w:p w:rsidR="006F6B4E" w:rsidRDefault="006F6B4E" w:rsidP="006F6B4E">
      <w:pPr>
        <w:numPr>
          <w:ilvl w:val="0"/>
          <w:numId w:val="2"/>
        </w:numPr>
        <w:spacing w:after="120"/>
        <w:rPr>
          <w:sz w:val="22"/>
          <w:szCs w:val="22"/>
        </w:rPr>
      </w:pPr>
      <w:r>
        <w:rPr>
          <w:sz w:val="22"/>
          <w:szCs w:val="22"/>
        </w:rPr>
        <w:t>NTP secured within [assignment: list of protocols consistent with selections made in FTP_ITC.1].</w:t>
      </w:r>
    </w:p>
    <w:p w:rsidR="006F6B4E" w:rsidRDefault="006F6B4E" w:rsidP="006F6B4E">
      <w:pPr>
        <w:spacing w:after="120"/>
        <w:ind w:left="360"/>
        <w:rPr>
          <w:sz w:val="22"/>
          <w:szCs w:val="22"/>
        </w:rPr>
      </w:pPr>
      <w:r>
        <w:rPr>
          <w:sz w:val="22"/>
          <w:szCs w:val="22"/>
        </w:rPr>
        <w:t>] to provide trusted communication between itself and an external NTP time source.</w:t>
      </w:r>
    </w:p>
    <w:p w:rsidR="006F6B4E" w:rsidRDefault="006F6B4E" w:rsidP="006F6B4E">
      <w:pPr>
        <w:spacing w:after="120"/>
        <w:rPr>
          <w:i/>
          <w:iCs/>
          <w:sz w:val="22"/>
          <w:szCs w:val="22"/>
        </w:rPr>
      </w:pPr>
      <w:r>
        <w:rPr>
          <w:i/>
          <w:iCs/>
          <w:sz w:val="22"/>
          <w:szCs w:val="22"/>
        </w:rPr>
        <w:t>Application Note</w:t>
      </w:r>
    </w:p>
    <w:p w:rsidR="006F6B4E" w:rsidRDefault="006F6B4E" w:rsidP="006F6B4E">
      <w:pPr>
        <w:spacing w:after="120"/>
        <w:rPr>
          <w:i/>
          <w:iCs/>
          <w:sz w:val="22"/>
          <w:szCs w:val="22"/>
        </w:rPr>
      </w:pPr>
      <w:r>
        <w:rPr>
          <w:i/>
          <w:iCs/>
          <w:sz w:val="22"/>
          <w:szCs w:val="22"/>
        </w:rPr>
        <w:t>The external time source can be an NTP server or NTP peer.</w:t>
      </w:r>
    </w:p>
    <w:p w:rsidR="006F6B4E" w:rsidRDefault="006F6B4E" w:rsidP="006F6B4E">
      <w:pPr>
        <w:spacing w:after="120"/>
        <w:rPr>
          <w:sz w:val="22"/>
          <w:szCs w:val="22"/>
        </w:rPr>
      </w:pPr>
      <w:r>
        <w:rPr>
          <w:b/>
          <w:bCs/>
          <w:sz w:val="22"/>
          <w:szCs w:val="22"/>
        </w:rPr>
        <w:t xml:space="preserve">FCS_NTP_EXT.1.3 </w:t>
      </w:r>
      <w:r>
        <w:rPr>
          <w:sz w:val="22"/>
          <w:szCs w:val="22"/>
        </w:rPr>
        <w:t xml:space="preserve">The TSF shall not participate in use of [selection: Broadcast, Multicast, </w:t>
      </w:r>
      <w:proofErr w:type="spellStart"/>
      <w:r>
        <w:rPr>
          <w:sz w:val="22"/>
          <w:szCs w:val="22"/>
        </w:rPr>
        <w:t>Manycast</w:t>
      </w:r>
      <w:proofErr w:type="spellEnd"/>
      <w:r>
        <w:rPr>
          <w:sz w:val="22"/>
          <w:szCs w:val="22"/>
        </w:rPr>
        <w:t>, no other] NTP modes [selection: except where secured within an FTP_ITC.1 protocol as noted above, with no exceptions].</w:t>
      </w:r>
    </w:p>
    <w:p w:rsidR="006F6B4E" w:rsidRDefault="006F6B4E" w:rsidP="006F6B4E">
      <w:pPr>
        <w:spacing w:after="120"/>
        <w:rPr>
          <w:i/>
          <w:iCs/>
          <w:sz w:val="22"/>
          <w:szCs w:val="22"/>
        </w:rPr>
      </w:pPr>
      <w:r>
        <w:rPr>
          <w:i/>
          <w:iCs/>
          <w:sz w:val="22"/>
          <w:szCs w:val="22"/>
        </w:rPr>
        <w:t>Application Note</w:t>
      </w:r>
    </w:p>
    <w:p w:rsidR="006F6B4E" w:rsidRDefault="006F6B4E" w:rsidP="006F6B4E">
      <w:pPr>
        <w:spacing w:after="120"/>
        <w:rPr>
          <w:i/>
          <w:iCs/>
          <w:sz w:val="22"/>
          <w:szCs w:val="22"/>
        </w:rPr>
      </w:pPr>
      <w:proofErr w:type="gramStart"/>
      <w:r>
        <w:rPr>
          <w:i/>
          <w:iCs/>
          <w:sz w:val="22"/>
          <w:szCs w:val="22"/>
        </w:rPr>
        <w:t xml:space="preserve">The Multicast and </w:t>
      </w:r>
      <w:proofErr w:type="spellStart"/>
      <w:r>
        <w:rPr>
          <w:i/>
          <w:iCs/>
          <w:sz w:val="22"/>
          <w:szCs w:val="22"/>
        </w:rPr>
        <w:t>Manycast</w:t>
      </w:r>
      <w:proofErr w:type="spellEnd"/>
      <w:r>
        <w:rPr>
          <w:i/>
          <w:iCs/>
          <w:sz w:val="22"/>
          <w:szCs w:val="22"/>
        </w:rPr>
        <w:t xml:space="preserve"> NTP modes are discouraged for the same reason that Broadcast mode is prohibited; because they are intended to be used where a relatively high (compared with client/server and symmetric (peer) modes) number of NTP nodes share the same authentication credentials, thus increasing the potential for a malicious agent (another NTP node on the network) to use valid credentials to transmit faulty time data.</w:t>
      </w:r>
      <w:proofErr w:type="gramEnd"/>
    </w:p>
    <w:p w:rsidR="006F6B4E" w:rsidRDefault="006F6B4E" w:rsidP="006F6B4E">
      <w:pPr>
        <w:spacing w:after="120"/>
        <w:rPr>
          <w:sz w:val="22"/>
          <w:szCs w:val="22"/>
        </w:rPr>
      </w:pPr>
      <w:r>
        <w:rPr>
          <w:b/>
          <w:bCs/>
          <w:sz w:val="22"/>
          <w:szCs w:val="22"/>
        </w:rPr>
        <w:t xml:space="preserve">FCS_NTP_EXT.1.4 </w:t>
      </w:r>
      <w:r>
        <w:rPr>
          <w:sz w:val="22"/>
          <w:szCs w:val="22"/>
        </w:rPr>
        <w:t>The TSF shall support concurrent configuration of one or more external NTP time sources.</w:t>
      </w:r>
    </w:p>
    <w:p w:rsidR="006F6B4E" w:rsidRDefault="006F6B4E" w:rsidP="006F6B4E">
      <w:pPr>
        <w:spacing w:before="100" w:beforeAutospacing="1" w:after="120"/>
        <w:rPr>
          <w:i/>
          <w:iCs/>
          <w:sz w:val="22"/>
          <w:szCs w:val="22"/>
        </w:rPr>
      </w:pPr>
      <w:r>
        <w:rPr>
          <w:i/>
          <w:iCs/>
          <w:sz w:val="22"/>
          <w:szCs w:val="22"/>
        </w:rPr>
        <w:t>Application Note</w:t>
      </w:r>
    </w:p>
    <w:p w:rsidR="006F6B4E" w:rsidRDefault="006F6B4E" w:rsidP="006F6B4E">
      <w:pPr>
        <w:spacing w:before="100" w:beforeAutospacing="1" w:after="120"/>
        <w:rPr>
          <w:sz w:val="22"/>
          <w:szCs w:val="22"/>
        </w:rPr>
      </w:pPr>
      <w:r>
        <w:rPr>
          <w:i/>
          <w:iCs/>
          <w:sz w:val="22"/>
          <w:szCs w:val="22"/>
        </w:rPr>
        <w:t>As a best practice, supporting at least three (3) time sources is recommended for redundancy across unreliable networks, but one (1) is sufficient for the SFR.</w:t>
      </w:r>
    </w:p>
    <w:p w:rsidR="006F6B4E" w:rsidRDefault="006F6B4E" w:rsidP="006F6B4E">
      <w:pPr>
        <w:spacing w:after="120"/>
      </w:pPr>
      <w:r>
        <w:rPr>
          <w:rFonts w:ascii="TimesNewRomanPS-BoldMT" w:hAnsi="TimesNewRomanPS-BoldMT"/>
          <w:b/>
          <w:bCs/>
        </w:rPr>
        <w:t>Allocation of Requirements in Distributed TOEs</w:t>
      </w:r>
    </w:p>
    <w:tbl>
      <w:tblPr>
        <w:tblW w:w="0" w:type="auto"/>
        <w:tblCellMar>
          <w:left w:w="0" w:type="dxa"/>
          <w:right w:w="0" w:type="dxa"/>
        </w:tblCellMar>
        <w:tblLook w:val="04A0" w:firstRow="1" w:lastRow="0" w:firstColumn="1" w:lastColumn="0" w:noHBand="0" w:noVBand="1"/>
      </w:tblPr>
      <w:tblGrid>
        <w:gridCol w:w="2155"/>
        <w:gridCol w:w="2160"/>
        <w:gridCol w:w="4050"/>
      </w:tblGrid>
      <w:tr w:rsidR="006F6B4E" w:rsidTr="006F6B4E">
        <w:tc>
          <w:tcPr>
            <w:tcW w:w="215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F6B4E" w:rsidRDefault="006F6B4E">
            <w:pPr>
              <w:spacing w:after="120"/>
              <w:rPr>
                <w:sz w:val="20"/>
                <w:szCs w:val="20"/>
              </w:rPr>
            </w:pPr>
            <w:r>
              <w:rPr>
                <w:b/>
                <w:bCs/>
                <w:sz w:val="20"/>
                <w:szCs w:val="20"/>
              </w:rPr>
              <w:t>Requirement</w:t>
            </w:r>
          </w:p>
        </w:tc>
        <w:tc>
          <w:tcPr>
            <w:tcW w:w="21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F6B4E" w:rsidRDefault="006F6B4E">
            <w:pPr>
              <w:spacing w:after="120"/>
              <w:rPr>
                <w:sz w:val="20"/>
                <w:szCs w:val="20"/>
              </w:rPr>
            </w:pPr>
            <w:r>
              <w:rPr>
                <w:b/>
                <w:bCs/>
                <w:sz w:val="20"/>
                <w:szCs w:val="20"/>
              </w:rPr>
              <w:t>Description</w:t>
            </w:r>
          </w:p>
        </w:tc>
        <w:tc>
          <w:tcPr>
            <w:tcW w:w="40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F6B4E" w:rsidRDefault="006F6B4E">
            <w:pPr>
              <w:autoSpaceDE w:val="0"/>
              <w:autoSpaceDN w:val="0"/>
              <w:rPr>
                <w:b/>
                <w:bCs/>
                <w:sz w:val="20"/>
                <w:szCs w:val="20"/>
              </w:rPr>
            </w:pPr>
            <w:r>
              <w:rPr>
                <w:b/>
                <w:bCs/>
                <w:sz w:val="20"/>
                <w:szCs w:val="20"/>
              </w:rPr>
              <w:t>Distributed TOE SFR Allocation</w:t>
            </w:r>
          </w:p>
        </w:tc>
      </w:tr>
      <w:tr w:rsidR="006F6B4E" w:rsidTr="006F6B4E">
        <w:tc>
          <w:tcPr>
            <w:tcW w:w="21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F6B4E" w:rsidRDefault="006F6B4E">
            <w:pPr>
              <w:spacing w:after="120"/>
              <w:rPr>
                <w:sz w:val="20"/>
                <w:szCs w:val="20"/>
              </w:rPr>
            </w:pPr>
            <w:r>
              <w:rPr>
                <w:sz w:val="20"/>
                <w:szCs w:val="20"/>
              </w:rPr>
              <w:t>FCS_NTP_EXT.1</w:t>
            </w:r>
          </w:p>
        </w:tc>
        <w:tc>
          <w:tcPr>
            <w:tcW w:w="2160" w:type="dxa"/>
            <w:tcBorders>
              <w:top w:val="nil"/>
              <w:left w:val="nil"/>
              <w:bottom w:val="single" w:sz="8" w:space="0" w:color="auto"/>
              <w:right w:val="single" w:sz="8" w:space="0" w:color="auto"/>
            </w:tcBorders>
            <w:tcMar>
              <w:top w:w="0" w:type="dxa"/>
              <w:left w:w="108" w:type="dxa"/>
              <w:bottom w:w="0" w:type="dxa"/>
              <w:right w:w="108" w:type="dxa"/>
            </w:tcMar>
            <w:hideMark/>
          </w:tcPr>
          <w:p w:rsidR="006F6B4E" w:rsidRDefault="006F6B4E">
            <w:pPr>
              <w:spacing w:after="120"/>
              <w:rPr>
                <w:sz w:val="20"/>
                <w:szCs w:val="20"/>
              </w:rPr>
            </w:pPr>
            <w:r>
              <w:rPr>
                <w:sz w:val="20"/>
                <w:szCs w:val="20"/>
              </w:rPr>
              <w:t>NTP Protocol</w:t>
            </w:r>
          </w:p>
        </w:tc>
        <w:tc>
          <w:tcPr>
            <w:tcW w:w="4050" w:type="dxa"/>
            <w:tcBorders>
              <w:top w:val="nil"/>
              <w:left w:val="nil"/>
              <w:bottom w:val="single" w:sz="8" w:space="0" w:color="auto"/>
              <w:right w:val="single" w:sz="8" w:space="0" w:color="auto"/>
            </w:tcBorders>
            <w:tcMar>
              <w:top w:w="0" w:type="dxa"/>
              <w:left w:w="108" w:type="dxa"/>
              <w:bottom w:w="0" w:type="dxa"/>
              <w:right w:w="108" w:type="dxa"/>
            </w:tcMar>
            <w:hideMark/>
          </w:tcPr>
          <w:p w:rsidR="006F6B4E" w:rsidRDefault="006F6B4E">
            <w:pPr>
              <w:spacing w:after="120"/>
              <w:rPr>
                <w:sz w:val="20"/>
                <w:szCs w:val="20"/>
              </w:rPr>
            </w:pPr>
            <w:r>
              <w:rPr>
                <w:sz w:val="20"/>
                <w:szCs w:val="20"/>
              </w:rPr>
              <w:t>One</w:t>
            </w:r>
          </w:p>
        </w:tc>
      </w:tr>
    </w:tbl>
    <w:p w:rsidR="006F6B4E" w:rsidRDefault="006F6B4E" w:rsidP="006F6B4E">
      <w:pPr>
        <w:rPr>
          <w:rFonts w:ascii="Calibri" w:hAnsi="Calibri"/>
          <w:color w:val="1F3864"/>
          <w:sz w:val="22"/>
          <w:szCs w:val="22"/>
        </w:rPr>
      </w:pPr>
    </w:p>
    <w:p w:rsidR="003015DE" w:rsidRDefault="00AE66AF"/>
    <w:p w:rsidR="005B6DD0" w:rsidRDefault="005B6DD0" w:rsidP="005B6DD0">
      <w:r w:rsidRPr="00B621CB">
        <w:rPr>
          <w:b/>
        </w:rPr>
        <w:lastRenderedPageBreak/>
        <w:t>NTP Subgroup response:</w:t>
      </w:r>
      <w:r>
        <w:t xml:space="preserve">  The NTP subgroup adapted the guidelines</w:t>
      </w:r>
      <w:r w:rsidR="0045158C">
        <w:t>, application note</w:t>
      </w:r>
      <w:bookmarkStart w:id="0" w:name="_GoBack"/>
      <w:bookmarkEnd w:id="0"/>
      <w:r>
        <w:t xml:space="preserve"> and the allocation for distributed TOEs</w:t>
      </w:r>
      <w:r w:rsidR="0045158C">
        <w:t>, though may have been modified for clarity</w:t>
      </w:r>
      <w:r>
        <w:t xml:space="preserve">.  All other changes are noted in the Background information. </w:t>
      </w:r>
    </w:p>
    <w:sectPr w:rsidR="005B6D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PS-BoldMT">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09101D"/>
    <w:multiLevelType w:val="hybridMultilevel"/>
    <w:tmpl w:val="913ADF30"/>
    <w:lvl w:ilvl="0" w:tplc="EC84018C">
      <w:start w:val="1"/>
      <w:numFmt w:val="bullet"/>
      <w:lvlText w:val="•"/>
      <w:lvlJc w:val="left"/>
      <w:pPr>
        <w:tabs>
          <w:tab w:val="num" w:pos="720"/>
        </w:tabs>
        <w:ind w:left="720" w:hanging="360"/>
      </w:pPr>
      <w:rPr>
        <w:rFonts w:ascii="Arial" w:hAnsi="Arial" w:cs="Times New Roman" w:hint="default"/>
      </w:rPr>
    </w:lvl>
    <w:lvl w:ilvl="1" w:tplc="B3F8C154">
      <w:start w:val="1"/>
      <w:numFmt w:val="bullet"/>
      <w:lvlText w:val="•"/>
      <w:lvlJc w:val="left"/>
      <w:pPr>
        <w:tabs>
          <w:tab w:val="num" w:pos="1440"/>
        </w:tabs>
        <w:ind w:left="1440" w:hanging="360"/>
      </w:pPr>
      <w:rPr>
        <w:rFonts w:ascii="Arial" w:hAnsi="Arial" w:cs="Times New Roman" w:hint="default"/>
      </w:rPr>
    </w:lvl>
    <w:lvl w:ilvl="2" w:tplc="3F6218E4">
      <w:start w:val="1"/>
      <w:numFmt w:val="bullet"/>
      <w:lvlText w:val="•"/>
      <w:lvlJc w:val="left"/>
      <w:pPr>
        <w:tabs>
          <w:tab w:val="num" w:pos="2160"/>
        </w:tabs>
        <w:ind w:left="2160" w:hanging="360"/>
      </w:pPr>
      <w:rPr>
        <w:rFonts w:ascii="Arial" w:hAnsi="Arial" w:cs="Times New Roman" w:hint="default"/>
      </w:rPr>
    </w:lvl>
    <w:lvl w:ilvl="3" w:tplc="6260609A">
      <w:start w:val="1"/>
      <w:numFmt w:val="bullet"/>
      <w:lvlText w:val="•"/>
      <w:lvlJc w:val="left"/>
      <w:pPr>
        <w:tabs>
          <w:tab w:val="num" w:pos="2880"/>
        </w:tabs>
        <w:ind w:left="2880" w:hanging="360"/>
      </w:pPr>
      <w:rPr>
        <w:rFonts w:ascii="Arial" w:hAnsi="Arial" w:cs="Times New Roman" w:hint="default"/>
      </w:rPr>
    </w:lvl>
    <w:lvl w:ilvl="4" w:tplc="4728577E">
      <w:start w:val="1"/>
      <w:numFmt w:val="bullet"/>
      <w:lvlText w:val="•"/>
      <w:lvlJc w:val="left"/>
      <w:pPr>
        <w:tabs>
          <w:tab w:val="num" w:pos="3600"/>
        </w:tabs>
        <w:ind w:left="3600" w:hanging="360"/>
      </w:pPr>
      <w:rPr>
        <w:rFonts w:ascii="Arial" w:hAnsi="Arial" w:cs="Times New Roman" w:hint="default"/>
      </w:rPr>
    </w:lvl>
    <w:lvl w:ilvl="5" w:tplc="0F2693F6">
      <w:start w:val="1"/>
      <w:numFmt w:val="bullet"/>
      <w:lvlText w:val="•"/>
      <w:lvlJc w:val="left"/>
      <w:pPr>
        <w:tabs>
          <w:tab w:val="num" w:pos="4320"/>
        </w:tabs>
        <w:ind w:left="4320" w:hanging="360"/>
      </w:pPr>
      <w:rPr>
        <w:rFonts w:ascii="Arial" w:hAnsi="Arial" w:cs="Times New Roman" w:hint="default"/>
      </w:rPr>
    </w:lvl>
    <w:lvl w:ilvl="6" w:tplc="C52837DA">
      <w:start w:val="1"/>
      <w:numFmt w:val="bullet"/>
      <w:lvlText w:val="•"/>
      <w:lvlJc w:val="left"/>
      <w:pPr>
        <w:tabs>
          <w:tab w:val="num" w:pos="5040"/>
        </w:tabs>
        <w:ind w:left="5040" w:hanging="360"/>
      </w:pPr>
      <w:rPr>
        <w:rFonts w:ascii="Arial" w:hAnsi="Arial" w:cs="Times New Roman" w:hint="default"/>
      </w:rPr>
    </w:lvl>
    <w:lvl w:ilvl="7" w:tplc="0E68165C">
      <w:start w:val="1"/>
      <w:numFmt w:val="bullet"/>
      <w:lvlText w:val="•"/>
      <w:lvlJc w:val="left"/>
      <w:pPr>
        <w:tabs>
          <w:tab w:val="num" w:pos="5760"/>
        </w:tabs>
        <w:ind w:left="5760" w:hanging="360"/>
      </w:pPr>
      <w:rPr>
        <w:rFonts w:ascii="Arial" w:hAnsi="Arial" w:cs="Times New Roman" w:hint="default"/>
      </w:rPr>
    </w:lvl>
    <w:lvl w:ilvl="8" w:tplc="38DA7430">
      <w:start w:val="1"/>
      <w:numFmt w:val="bullet"/>
      <w:lvlText w:val="•"/>
      <w:lvlJc w:val="left"/>
      <w:pPr>
        <w:tabs>
          <w:tab w:val="num" w:pos="6480"/>
        </w:tabs>
        <w:ind w:left="6480" w:hanging="360"/>
      </w:pPr>
      <w:rPr>
        <w:rFonts w:ascii="Arial" w:hAnsi="Arial" w:cs="Times New Roman" w:hint="default"/>
      </w:rPr>
    </w:lvl>
  </w:abstractNum>
  <w:abstractNum w:abstractNumId="1" w15:restartNumberingAfterBreak="0">
    <w:nsid w:val="3E724F2C"/>
    <w:multiLevelType w:val="hybridMultilevel"/>
    <w:tmpl w:val="3C469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B4E"/>
    <w:rsid w:val="0045158C"/>
    <w:rsid w:val="00486F70"/>
    <w:rsid w:val="005B6DD0"/>
    <w:rsid w:val="00673B17"/>
    <w:rsid w:val="006F6B4E"/>
    <w:rsid w:val="0086195B"/>
    <w:rsid w:val="00AE66AF"/>
    <w:rsid w:val="00D346EF"/>
    <w:rsid w:val="00E27A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F82ED-CF22-40A0-8A98-C3B84C39A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B4E"/>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6B4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746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399</Words>
  <Characters>2276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NTP subgroup</dc:creator>
  <cp:keywords/>
  <dc:description/>
  <cp:lastModifiedBy>tediaz@cisco.com</cp:lastModifiedBy>
  <cp:revision>5</cp:revision>
  <dcterms:created xsi:type="dcterms:W3CDTF">2017-10-10T12:33:00Z</dcterms:created>
  <dcterms:modified xsi:type="dcterms:W3CDTF">2017-10-16T20:33:00Z</dcterms:modified>
</cp:coreProperties>
</file>